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E9B" w:rsidRPr="00DD1E9B" w:rsidRDefault="00DD1E9B" w:rsidP="00DD1E9B">
      <w:pPr>
        <w:pBdr>
          <w:bottom w:val="single" w:sz="12" w:space="11" w:color="DFDAD5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</w:pPr>
      <w:bookmarkStart w:id="0" w:name="_GoBack"/>
      <w:bookmarkEnd w:id="0"/>
      <w:r w:rsidRPr="00DD1E9B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t xml:space="preserve">Cannabis/Marijuana </w:t>
      </w:r>
      <w:r w:rsidR="00341B80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t>at Genesee Community College</w:t>
      </w:r>
    </w:p>
    <w:p w:rsidR="00DD1E9B" w:rsidRPr="00DD1E9B" w:rsidRDefault="00DD1E9B" w:rsidP="00DD1E9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b/>
          <w:bCs/>
          <w:noProof/>
          <w:color w:val="003761"/>
          <w:spacing w:val="-2"/>
          <w:sz w:val="23"/>
          <w:szCs w:val="23"/>
        </w:rPr>
        <w:drawing>
          <wp:inline distT="0" distB="0" distL="0" distR="0">
            <wp:extent cx="3048000" cy="3048000"/>
            <wp:effectExtent l="0" t="0" r="0" b="0"/>
            <wp:docPr id="5" name="Picture 5" descr="No Mariju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Marijua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9B" w:rsidRPr="00DD1E9B" w:rsidRDefault="00DD1E9B" w:rsidP="00DD1E9B">
      <w:pPr>
        <w:shd w:val="clear" w:color="auto" w:fill="FFFFFF"/>
        <w:spacing w:before="225" w:after="150" w:line="240" w:lineRule="auto"/>
        <w:jc w:val="center"/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  <w:t xml:space="preserve">You may not use, possess and/or distribute cannabis/marijuana (including but not limited to medical marijuana and marijuana paraphernalia) or any other cannabis/marijuana products in any form on </w:t>
      </w:r>
      <w:r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  <w:t>Genesee Community College (GCC) and College Village</w:t>
      </w:r>
      <w:r w:rsidRPr="00DD1E9B"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  <w:t xml:space="preserve"> propert</w:t>
      </w:r>
      <w:r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  <w:t>ies</w:t>
      </w:r>
      <w:r w:rsidRPr="00DD1E9B">
        <w:rPr>
          <w:rFonts w:ascii="Arial" w:eastAsia="Times New Roman" w:hAnsi="Arial" w:cs="Arial"/>
          <w:b/>
          <w:bCs/>
          <w:color w:val="746663"/>
          <w:spacing w:val="-2"/>
          <w:sz w:val="23"/>
          <w:szCs w:val="23"/>
        </w:rPr>
        <w:t xml:space="preserve"> and/or sponsored event.</w:t>
      </w:r>
    </w:p>
    <w:p w:rsidR="00DD1E9B" w:rsidRPr="00DD1E9B" w:rsidRDefault="00DD1E9B" w:rsidP="00DD1E9B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</w:pPr>
      <w:r w:rsidRPr="00DD1E9B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t>Why Cannabis/Marijuana is Not Allowed</w:t>
      </w:r>
    </w:p>
    <w:p w:rsidR="00DD1E9B" w:rsidRPr="00DD1E9B" w:rsidRDefault="00DD1E9B" w:rsidP="00DD1E9B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Despite the recent passage of the </w:t>
      </w:r>
      <w:hyperlink r:id="rId7" w:tgtFrame="_blank" w:history="1"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New York State Mari</w:t>
        </w:r>
        <w:r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j</w:t>
        </w:r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ua</w:t>
        </w:r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n</w:t>
        </w:r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a Regulation and Taxation Act (MRTA)</w:t>
        </w:r>
      </w:hyperlink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, the use, possession and/or distribution of cannabis/marijuana in any form remains a crime under federal law.  At the federal level, the </w:t>
      </w:r>
      <w:hyperlink r:id="rId8" w:history="1"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Controlled Substances Act</w:t>
        </w:r>
      </w:hyperlink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 criminalizes the growing, possession and/or use of cannabis/marijuana.  As a controlled substance, use, possession and/or distribution of cannabis/marijuana continues to be prohibited by GCC’s </w:t>
      </w:r>
      <w:hyperlink r:id="rId9" w:tgtFrame="_blank" w:history="1">
        <w:r w:rsidRPr="00DD1E9B">
          <w:rPr>
            <w:rFonts w:ascii="Helvetica" w:eastAsia="Times New Roman" w:hAnsi="Helvetica" w:cs="Times New Roman"/>
            <w:b/>
            <w:color w:val="323E4F" w:themeColor="text2" w:themeShade="BF"/>
            <w:u w:val="single"/>
          </w:rPr>
          <w:t>Student</w:t>
        </w:r>
        <w:r w:rsidRPr="00DD1E9B">
          <w:rPr>
            <w:rFonts w:ascii="Helvetica" w:eastAsia="Times New Roman" w:hAnsi="Helvetica" w:cs="Times New Roman"/>
            <w:b/>
            <w:color w:val="323E4F" w:themeColor="text2" w:themeShade="BF"/>
            <w:u w:val="single"/>
          </w:rPr>
          <w:t xml:space="preserve"> </w:t>
        </w:r>
        <w:r w:rsidRPr="00DD1E9B">
          <w:rPr>
            <w:rFonts w:ascii="Arial" w:eastAsia="Times New Roman" w:hAnsi="Arial" w:cs="Arial"/>
            <w:b/>
            <w:color w:val="323E4F" w:themeColor="text2" w:themeShade="BF"/>
            <w:u w:val="single"/>
          </w:rPr>
          <w:t>Co</w:t>
        </w:r>
        <w:r w:rsidRPr="00DD1E9B">
          <w:rPr>
            <w:rFonts w:ascii="Arial" w:eastAsia="Times New Roman" w:hAnsi="Arial" w:cs="Arial"/>
            <w:b/>
            <w:color w:val="323E4F" w:themeColor="text2" w:themeShade="BF"/>
            <w:u w:val="single"/>
          </w:rPr>
          <w:t>d</w:t>
        </w:r>
        <w:r w:rsidRPr="00DD1E9B">
          <w:rPr>
            <w:rFonts w:ascii="Arial" w:eastAsia="Times New Roman" w:hAnsi="Arial" w:cs="Arial"/>
            <w:b/>
            <w:color w:val="323E4F" w:themeColor="text2" w:themeShade="BF"/>
            <w:u w:val="single"/>
          </w:rPr>
          <w:t>e</w:t>
        </w:r>
        <w:r w:rsidRPr="00DD1E9B">
          <w:rPr>
            <w:rFonts w:ascii="Helvetica" w:eastAsia="Times New Roman" w:hAnsi="Helvetica" w:cs="Times New Roman"/>
            <w:b/>
            <w:color w:val="323E4F" w:themeColor="text2" w:themeShade="BF"/>
            <w:u w:val="single"/>
          </w:rPr>
          <w:t xml:space="preserve"> of Conduct</w:t>
        </w:r>
      </w:hyperlink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 and is not permitted on campus and/or sponsored event.  The use, possession and/or distribution of cannabis/marijuana on campus is also restricted by federal laws, such as the federal </w:t>
      </w:r>
      <w:hyperlink r:id="rId10" w:history="1"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Drug-Fr</w:t>
        </w:r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e</w:t>
        </w:r>
        <w:r w:rsidRPr="00DD1E9B">
          <w:rPr>
            <w:rFonts w:ascii="Arial" w:eastAsia="Times New Roman" w:hAnsi="Arial" w:cs="Arial"/>
            <w:b/>
            <w:bCs/>
            <w:color w:val="003761"/>
            <w:spacing w:val="-2"/>
            <w:sz w:val="23"/>
            <w:szCs w:val="23"/>
            <w:u w:val="single"/>
          </w:rPr>
          <w:t>e Schools and Communities Act</w:t>
        </w:r>
      </w:hyperlink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. In short, federal law requires that any College/University prohibit the use, possession and/or distribution of cannabis/marijuana on campus and/or sponsored event due to the federal funding received.</w:t>
      </w:r>
    </w:p>
    <w:p w:rsidR="00DD1E9B" w:rsidRPr="00DD1E9B" w:rsidRDefault="00DD1E9B" w:rsidP="00DD1E9B">
      <w:pPr>
        <w:shd w:val="clear" w:color="auto" w:fill="FFFFFF"/>
        <w:spacing w:before="510" w:after="45" w:line="240" w:lineRule="auto"/>
        <w:outlineLvl w:val="1"/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</w:pPr>
      <w:r w:rsidRPr="00DD1E9B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t>Violations of College Policies</w:t>
      </w:r>
    </w:p>
    <w:p w:rsidR="00DD1E9B" w:rsidRPr="00DD1E9B" w:rsidRDefault="00DD1E9B" w:rsidP="00DD1E9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Students who are addressed for violation(s) of</w:t>
      </w:r>
      <w:r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 of College Policies of the Student Code of Conduct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 associated with any controlled substance will be referred to the</w:t>
      </w:r>
      <w:r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 Dean of Students 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Office for disciplinary action. </w:t>
      </w:r>
    </w:p>
    <w:p w:rsidR="00DD1E9B" w:rsidRPr="00DD1E9B" w:rsidRDefault="00DD1E9B" w:rsidP="00DD1E9B">
      <w:pPr>
        <w:shd w:val="clear" w:color="auto" w:fill="FFFFFF"/>
        <w:spacing w:before="510" w:after="45" w:line="240" w:lineRule="auto"/>
        <w:outlineLvl w:val="1"/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</w:pPr>
      <w:r w:rsidRPr="00DD1E9B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lastRenderedPageBreak/>
        <w:t>Health &amp; Safety</w:t>
      </w:r>
    </w:p>
    <w:p w:rsidR="00DD1E9B" w:rsidRPr="00DD1E9B" w:rsidRDefault="00DD1E9B" w:rsidP="00341B80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The health and safety of students is always our highest priority at </w:t>
      </w:r>
      <w:r w:rsidRPr="00341B80">
        <w:rPr>
          <w:rFonts w:ascii="Arial" w:eastAsia="Times New Roman" w:hAnsi="Arial" w:cs="Arial"/>
          <w:color w:val="252525"/>
          <w:spacing w:val="-2"/>
          <w:sz w:val="23"/>
          <w:szCs w:val="23"/>
        </w:rPr>
        <w:t>GCC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. Drug overdose or alcohol poisoning is a medical emergency. Call </w:t>
      </w:r>
      <w:r w:rsidRPr="00341B80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Campus Safety 585-345-6500 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or 911 immediately in the event of an emergency! The</w:t>
      </w:r>
      <w:r w:rsidR="00341B80" w:rsidRPr="00341B80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 </w:t>
      </w:r>
      <w:hyperlink r:id="rId11" w:tgtFrame="_blank" w:history="1">
        <w:r w:rsidR="00341B80" w:rsidRPr="00341B80">
          <w:rPr>
            <w:rStyle w:val="Hyperlink"/>
            <w:rFonts w:ascii="Arial" w:hAnsi="Arial" w:cs="Arial"/>
            <w:color w:val="323E4F" w:themeColor="text2" w:themeShade="BF"/>
            <w:sz w:val="23"/>
            <w:szCs w:val="23"/>
            <w:shd w:val="clear" w:color="auto" w:fill="FFFFFF"/>
          </w:rPr>
          <w:t>Policy for Alcohol/Drug Use </w:t>
        </w:r>
        <w:r w:rsidR="00341B80" w:rsidRPr="00341B80">
          <w:rPr>
            <w:rStyle w:val="Hyperlink"/>
            <w:rFonts w:ascii="Arial" w:hAnsi="Arial" w:cs="Arial"/>
            <w:b/>
            <w:bCs/>
            <w:color w:val="323E4F" w:themeColor="text2" w:themeShade="BF"/>
            <w:sz w:val="23"/>
            <w:szCs w:val="23"/>
            <w:shd w:val="clear" w:color="auto" w:fill="FFFFFF"/>
          </w:rPr>
          <w:t>Amnesty</w:t>
        </w:r>
        <w:r w:rsidR="00341B80" w:rsidRPr="00341B80">
          <w:rPr>
            <w:rStyle w:val="Hyperlink"/>
            <w:rFonts w:ascii="Arial" w:hAnsi="Arial" w:cs="Arial"/>
            <w:color w:val="323E4F" w:themeColor="text2" w:themeShade="BF"/>
            <w:sz w:val="23"/>
            <w:szCs w:val="23"/>
            <w:shd w:val="clear" w:color="auto" w:fill="FFFFFF"/>
          </w:rPr>
          <w:t> - Genesee Community College</w:t>
        </w:r>
      </w:hyperlink>
      <w:r w:rsidR="00341B80" w:rsidRPr="00341B80">
        <w:rPr>
          <w:rFonts w:ascii="Arial" w:hAnsi="Arial" w:cs="Arial"/>
          <w:sz w:val="23"/>
          <w:szCs w:val="23"/>
        </w:rPr>
        <w:t xml:space="preserve"> was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 xml:space="preserve"> developed to minimize any hesitation students may have in obtaining help for themselves or others due to concerns that their own behavior may be a violation of the </w:t>
      </w:r>
      <w:r w:rsidR="00341B80" w:rsidRPr="00341B80">
        <w:rPr>
          <w:rFonts w:ascii="Arial" w:eastAsia="Times New Roman" w:hAnsi="Arial" w:cs="Arial"/>
          <w:color w:val="252525"/>
          <w:spacing w:val="-2"/>
          <w:sz w:val="23"/>
          <w:szCs w:val="23"/>
        </w:rPr>
        <w:t>Student Code of Conduct a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t>nd/or law.</w:t>
      </w:r>
      <w:r w:rsidRPr="00DD1E9B">
        <w:rPr>
          <w:rFonts w:ascii="Arial" w:eastAsia="Times New Roman" w:hAnsi="Arial" w:cs="Arial"/>
          <w:color w:val="252525"/>
          <w:spacing w:val="-2"/>
          <w:sz w:val="23"/>
          <w:szCs w:val="23"/>
        </w:rPr>
        <w:br/>
      </w:r>
    </w:p>
    <w:p w:rsidR="00DD1E9B" w:rsidRPr="00DD1E9B" w:rsidRDefault="00DD1E9B" w:rsidP="00DD1E9B">
      <w:pPr>
        <w:shd w:val="clear" w:color="auto" w:fill="FFFFFF"/>
        <w:spacing w:before="510" w:after="45" w:line="240" w:lineRule="auto"/>
        <w:outlineLvl w:val="1"/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</w:pPr>
      <w:r w:rsidRPr="00DD1E9B">
        <w:rPr>
          <w:rFonts w:ascii="Arial" w:eastAsia="Times New Roman" w:hAnsi="Arial" w:cs="Arial"/>
          <w:b/>
          <w:bCs/>
          <w:color w:val="003761"/>
          <w:spacing w:val="-2"/>
          <w:sz w:val="36"/>
          <w:szCs w:val="36"/>
        </w:rPr>
        <w:t>Remember</w:t>
      </w:r>
    </w:p>
    <w:p w:rsidR="00DD1E9B" w:rsidRPr="00DD1E9B" w:rsidRDefault="00DD1E9B" w:rsidP="00DD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noProof/>
          <w:color w:val="252525"/>
          <w:spacing w:val="-2"/>
          <w:sz w:val="23"/>
          <w:szCs w:val="23"/>
        </w:rPr>
        <w:drawing>
          <wp:inline distT="0" distB="0" distL="0" distR="0">
            <wp:extent cx="996696" cy="996696"/>
            <wp:effectExtent l="0" t="0" r="0" b="0"/>
            <wp:docPr id="4" name="Picture 4" descr="No sm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smok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E9B">
        <w:rPr>
          <w:rFonts w:ascii="FFBalanceWebLightItalic" w:eastAsia="Times New Roman" w:hAnsi="FFBalanceWebLightItalic" w:cs="Arial"/>
          <w:i/>
          <w:iCs/>
          <w:color w:val="252525"/>
          <w:spacing w:val="-2"/>
          <w:sz w:val="23"/>
          <w:szCs w:val="23"/>
        </w:rPr>
        <w:t>No smoking</w:t>
      </w:r>
    </w:p>
    <w:p w:rsidR="00DD1E9B" w:rsidRPr="00DD1E9B" w:rsidRDefault="00DD1E9B" w:rsidP="00DD1E9B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noProof/>
          <w:color w:val="252525"/>
          <w:spacing w:val="-2"/>
          <w:sz w:val="23"/>
          <w:szCs w:val="23"/>
        </w:rPr>
        <w:drawing>
          <wp:inline distT="0" distB="0" distL="0" distR="0">
            <wp:extent cx="996696" cy="996696"/>
            <wp:effectExtent l="0" t="0" r="0" b="0"/>
            <wp:docPr id="3" name="Picture 3" descr="No va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vap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E9B">
        <w:rPr>
          <w:rFonts w:ascii="FFBalanceWebLightItalic" w:eastAsia="Times New Roman" w:hAnsi="FFBalanceWebLightItalic" w:cs="Arial"/>
          <w:i/>
          <w:iCs/>
          <w:color w:val="252525"/>
          <w:spacing w:val="-2"/>
          <w:sz w:val="23"/>
          <w:szCs w:val="23"/>
        </w:rPr>
        <w:t>No vaping</w:t>
      </w:r>
    </w:p>
    <w:p w:rsidR="00DD1E9B" w:rsidRPr="00DD1E9B" w:rsidRDefault="00DD1E9B" w:rsidP="00DD1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noProof/>
          <w:color w:val="252525"/>
          <w:spacing w:val="-2"/>
          <w:sz w:val="23"/>
          <w:szCs w:val="23"/>
        </w:rPr>
        <w:drawing>
          <wp:inline distT="0" distB="0" distL="0" distR="0">
            <wp:extent cx="996696" cy="996696"/>
            <wp:effectExtent l="0" t="0" r="0" b="0"/>
            <wp:docPr id="2" name="Picture 2" descr="No E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Edibl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E9B">
        <w:rPr>
          <w:rFonts w:ascii="FFBalanceWebLightItalic" w:eastAsia="Times New Roman" w:hAnsi="FFBalanceWebLightItalic" w:cs="Arial"/>
          <w:i/>
          <w:iCs/>
          <w:color w:val="252525"/>
          <w:spacing w:val="-2"/>
          <w:sz w:val="23"/>
          <w:szCs w:val="23"/>
        </w:rPr>
        <w:t>No Edibles</w:t>
      </w:r>
    </w:p>
    <w:p w:rsidR="00DD1E9B" w:rsidRPr="00DD1E9B" w:rsidRDefault="00DD1E9B" w:rsidP="00DD1E9B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252525"/>
          <w:spacing w:val="-2"/>
          <w:sz w:val="23"/>
          <w:szCs w:val="23"/>
        </w:rPr>
      </w:pPr>
      <w:r w:rsidRPr="00DD1E9B">
        <w:rPr>
          <w:rFonts w:ascii="Arial" w:eastAsia="Times New Roman" w:hAnsi="Arial" w:cs="Arial"/>
          <w:noProof/>
          <w:color w:val="252525"/>
          <w:spacing w:val="-2"/>
          <w:sz w:val="23"/>
          <w:szCs w:val="23"/>
        </w:rPr>
        <w:drawing>
          <wp:inline distT="0" distB="0" distL="0" distR="0">
            <wp:extent cx="996696" cy="996696"/>
            <wp:effectExtent l="0" t="0" r="0" b="0"/>
            <wp:docPr id="1" name="Picture 1" descr="No Paraphern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araphernal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E9B">
        <w:rPr>
          <w:rFonts w:ascii="FFBalanceWebLightItalic" w:eastAsia="Times New Roman" w:hAnsi="FFBalanceWebLightItalic" w:cs="Arial"/>
          <w:i/>
          <w:iCs/>
          <w:color w:val="252525"/>
          <w:spacing w:val="-2"/>
          <w:sz w:val="23"/>
          <w:szCs w:val="23"/>
        </w:rPr>
        <w:t>No Paraphernalia</w:t>
      </w:r>
    </w:p>
    <w:p w:rsidR="00E472BB" w:rsidRDefault="00E472BB"/>
    <w:sectPr w:rsidR="00E4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BalanceWebLight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A"/>
    <w:multiLevelType w:val="multilevel"/>
    <w:tmpl w:val="2F5AE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EA9"/>
    <w:multiLevelType w:val="multilevel"/>
    <w:tmpl w:val="2D489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9B"/>
    <w:rsid w:val="00341B80"/>
    <w:rsid w:val="00DD1E9B"/>
    <w:rsid w:val="00E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89D3"/>
  <w15:chartTrackingRefBased/>
  <w15:docId w15:val="{466EDFE1-93E7-4A9E-8F84-DEE2E44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1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E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1E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1E9B"/>
    <w:rPr>
      <w:b/>
      <w:bCs/>
    </w:rPr>
  </w:style>
  <w:style w:type="character" w:customStyle="1" w:styleId="lwimagecaption">
    <w:name w:val="lw_image_caption"/>
    <w:basedOn w:val="DefaultParagraphFont"/>
    <w:rsid w:val="00DD1E9B"/>
  </w:style>
  <w:style w:type="character" w:styleId="FollowedHyperlink">
    <w:name w:val="FollowedHyperlink"/>
    <w:basedOn w:val="DefaultParagraphFont"/>
    <w:uiPriority w:val="99"/>
    <w:semiHidden/>
    <w:unhideWhenUsed/>
    <w:rsid w:val="00341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6800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61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91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1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515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8979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diversion.usdoj.gov/21cfr/21usc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legislation.nysenate.gov/pdf/bills/2021/s854a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enesee.edu/home/about/title-ix/alcohol-drug-use-amnesty-in-sexual-interpersonal-violence-cases/" TargetMode="External"/><Relationship Id="rId5" Type="http://schemas.openxmlformats.org/officeDocument/2006/relationships/hyperlink" Target="https://www.purchase.edu/live/image/gid/101/width/650/18855_NoPot.jp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www.congress.gov/bill/101st-congress/house-bill/3614/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esee.edu/assets/file/policies/GCC-Student-Code-of-Conduct.pdf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Chaya, Patricia</dc:creator>
  <cp:keywords/>
  <dc:description/>
  <cp:lastModifiedBy>Chaya, Patricia</cp:lastModifiedBy>
  <cp:revision>1</cp:revision>
  <cp:lastPrinted>2022-07-25T13:10:00Z</cp:lastPrinted>
  <dcterms:created xsi:type="dcterms:W3CDTF">2022-07-25T12:52:00Z</dcterms:created>
  <dcterms:modified xsi:type="dcterms:W3CDTF">2022-07-25T13:11:00Z</dcterms:modified>
</cp:coreProperties>
</file>